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53EAD" w14:textId="68123BB6" w:rsidR="007736F7" w:rsidRDefault="00F91022">
      <w:pPr>
        <w:pStyle w:val="NoSpacing1"/>
        <w:rPr>
          <w:rFonts w:ascii="Arial" w:hAnsi="Arial" w:cs="Arial"/>
          <w:b/>
          <w:i/>
          <w:sz w:val="28"/>
          <w:szCs w:val="28"/>
        </w:rPr>
      </w:pPr>
      <w:r>
        <w:rPr>
          <w:rFonts w:ascii="Arial" w:hAnsi="Arial" w:cs="Arial"/>
          <w:b/>
          <w:sz w:val="28"/>
          <w:szCs w:val="28"/>
        </w:rPr>
        <w:t>3GPP TSG-RAN WG3 #</w:t>
      </w:r>
      <w:r w:rsidR="002A625D">
        <w:rPr>
          <w:rFonts w:ascii="Arial" w:hAnsi="Arial" w:cs="Arial"/>
          <w:b/>
          <w:sz w:val="28"/>
          <w:szCs w:val="28"/>
        </w:rPr>
        <w:t>103</w:t>
      </w:r>
      <w:r w:rsidR="002860A0">
        <w:rPr>
          <w:rFonts w:ascii="Arial" w:hAnsi="Arial" w:cs="Arial"/>
          <w:b/>
          <w:sz w:val="28"/>
          <w:szCs w:val="28"/>
        </w:rPr>
        <w:t>bis</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iCs/>
          <w:sz w:val="28"/>
          <w:szCs w:val="28"/>
        </w:rPr>
        <w:t>R3-</w:t>
      </w:r>
      <w:r w:rsidR="00DC4AF9">
        <w:rPr>
          <w:rFonts w:ascii="Arial" w:hAnsi="Arial" w:cs="Arial"/>
          <w:b/>
          <w:iCs/>
          <w:sz w:val="28"/>
          <w:szCs w:val="28"/>
        </w:rPr>
        <w:t>1</w:t>
      </w:r>
      <w:r w:rsidR="002A625D">
        <w:rPr>
          <w:rFonts w:ascii="Arial" w:hAnsi="Arial" w:cs="Arial"/>
          <w:b/>
          <w:iCs/>
          <w:sz w:val="28"/>
          <w:szCs w:val="28"/>
        </w:rPr>
        <w:t>9</w:t>
      </w:r>
      <w:r w:rsidR="002860A0">
        <w:rPr>
          <w:rFonts w:ascii="Arial" w:hAnsi="Arial" w:cs="Arial"/>
          <w:b/>
          <w:iCs/>
          <w:sz w:val="28"/>
          <w:szCs w:val="28"/>
        </w:rPr>
        <w:t>1228</w:t>
      </w:r>
    </w:p>
    <w:p w14:paraId="58926869" w14:textId="66B0BB14" w:rsidR="007736F7" w:rsidRDefault="002860A0">
      <w:pPr>
        <w:pStyle w:val="CRCoverPage"/>
        <w:tabs>
          <w:tab w:val="left" w:pos="1980"/>
        </w:tabs>
        <w:jc w:val="both"/>
        <w:rPr>
          <w:rFonts w:cs="Arial"/>
          <w:b/>
          <w:bCs/>
          <w:sz w:val="28"/>
          <w:szCs w:val="28"/>
          <w:lang w:val="en-US"/>
        </w:rPr>
      </w:pPr>
      <w:r>
        <w:rPr>
          <w:rFonts w:eastAsia="Batang" w:cs="Arial"/>
          <w:b/>
          <w:color w:val="000000"/>
          <w:sz w:val="28"/>
          <w:szCs w:val="28"/>
          <w:lang w:eastAsia="ja-JP"/>
        </w:rPr>
        <w:t>Xian, China,</w:t>
      </w:r>
      <w:r w:rsidR="009F5423">
        <w:rPr>
          <w:rFonts w:eastAsia="Batang" w:cs="Arial"/>
          <w:b/>
          <w:color w:val="000000"/>
          <w:sz w:val="28"/>
          <w:szCs w:val="28"/>
          <w:lang w:eastAsia="ja-JP"/>
        </w:rPr>
        <w:t xml:space="preserve"> </w:t>
      </w:r>
      <w:r>
        <w:rPr>
          <w:rFonts w:eastAsia="Batang" w:cs="Arial"/>
          <w:b/>
          <w:color w:val="000000"/>
          <w:sz w:val="28"/>
          <w:szCs w:val="28"/>
          <w:lang w:eastAsia="ja-JP"/>
        </w:rPr>
        <w:t>8</w:t>
      </w:r>
      <w:r w:rsidR="0034769F">
        <w:rPr>
          <w:rFonts w:eastAsia="Batang" w:cs="Arial"/>
          <w:b/>
          <w:color w:val="000000"/>
          <w:sz w:val="28"/>
          <w:szCs w:val="28"/>
          <w:lang w:eastAsia="ja-JP"/>
        </w:rPr>
        <w:t xml:space="preserve"> – 1</w:t>
      </w:r>
      <w:r>
        <w:rPr>
          <w:rFonts w:eastAsia="Batang" w:cs="Arial"/>
          <w:b/>
          <w:color w:val="000000"/>
          <w:sz w:val="28"/>
          <w:szCs w:val="28"/>
          <w:lang w:eastAsia="ja-JP"/>
        </w:rPr>
        <w:t>2</w:t>
      </w:r>
      <w:r w:rsidR="0034769F">
        <w:rPr>
          <w:rFonts w:eastAsia="Batang" w:cs="Arial"/>
          <w:b/>
          <w:color w:val="000000"/>
          <w:sz w:val="28"/>
          <w:szCs w:val="28"/>
          <w:lang w:eastAsia="ja-JP"/>
        </w:rPr>
        <w:t xml:space="preserve"> </w:t>
      </w:r>
      <w:r>
        <w:rPr>
          <w:rFonts w:eastAsia="Batang" w:cs="Arial"/>
          <w:b/>
          <w:color w:val="000000"/>
          <w:sz w:val="28"/>
          <w:szCs w:val="28"/>
          <w:lang w:eastAsia="ja-JP"/>
        </w:rPr>
        <w:t>April</w:t>
      </w:r>
      <w:r w:rsidR="0034769F">
        <w:rPr>
          <w:rFonts w:eastAsia="Batang" w:cs="Arial"/>
          <w:b/>
          <w:color w:val="000000"/>
          <w:sz w:val="28"/>
          <w:szCs w:val="28"/>
          <w:lang w:eastAsia="ja-JP"/>
        </w:rPr>
        <w:t xml:space="preserve"> 2019</w:t>
      </w:r>
    </w:p>
    <w:p w14:paraId="03BC5DC3" w14:textId="237FCE7B"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9A524B">
        <w:rPr>
          <w:rFonts w:ascii="Times New Roman" w:hAnsi="Times New Roman"/>
          <w:b/>
          <w:bCs/>
          <w:sz w:val="24"/>
          <w:lang w:val="en-US"/>
        </w:rPr>
        <w:t>9.3.3</w:t>
      </w:r>
    </w:p>
    <w:p w14:paraId="6C65BE9B" w14:textId="74782234"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14:paraId="164E2610" w14:textId="7597B362" w:rsidR="007736F7" w:rsidRDefault="009F5423">
      <w:pPr>
        <w:ind w:left="1985" w:hanging="1985"/>
        <w:rPr>
          <w:b/>
          <w:bCs/>
          <w:lang w:val="en-US"/>
        </w:rPr>
      </w:pPr>
      <w:r>
        <w:rPr>
          <w:b/>
          <w:bCs/>
          <w:sz w:val="24"/>
          <w:lang w:val="en-US"/>
        </w:rPr>
        <w:t>Title:</w:t>
      </w:r>
      <w:r>
        <w:rPr>
          <w:b/>
          <w:bCs/>
          <w:sz w:val="24"/>
          <w:lang w:val="en-US"/>
        </w:rPr>
        <w:tab/>
      </w:r>
      <w:r w:rsidR="002860A0" w:rsidRPr="002860A0">
        <w:rPr>
          <w:b/>
          <w:bCs/>
          <w:sz w:val="24"/>
          <w:lang w:val="en-US"/>
        </w:rPr>
        <w:t>Logical Architecture and RAN Sharing</w:t>
      </w:r>
    </w:p>
    <w:p w14:paraId="4F170110" w14:textId="77777777" w:rsidR="007736F7" w:rsidRPr="002A625D" w:rsidRDefault="009F5423" w:rsidP="002A625D">
      <w:pPr>
        <w:pStyle w:val="Heading1"/>
      </w:pPr>
      <w:r w:rsidRPr="002A625D">
        <w:t>Introduction</w:t>
      </w:r>
    </w:p>
    <w:p w14:paraId="6035906A" w14:textId="7B6EDA11" w:rsidR="002860A0" w:rsidRPr="002860A0" w:rsidRDefault="002860A0" w:rsidP="002860A0">
      <w:pPr>
        <w:pStyle w:val="Heading1"/>
        <w:rPr>
          <w:rFonts w:ascii="Times New Roman" w:hAnsi="Times New Roman" w:cs="Times New Roman"/>
          <w:sz w:val="22"/>
          <w:szCs w:val="20"/>
          <w:lang w:val="en-US"/>
        </w:rPr>
      </w:pPr>
      <w:r w:rsidRPr="002860A0">
        <w:rPr>
          <w:rFonts w:ascii="Times New Roman" w:hAnsi="Times New Roman" w:cs="Times New Roman"/>
          <w:sz w:val="22"/>
          <w:szCs w:val="20"/>
          <w:lang w:val="en-US"/>
        </w:rPr>
        <w:t>RAN3 received a LS from TSG RAN#83 in RP-190730 [1] with the following ta</w:t>
      </w:r>
      <w:r>
        <w:rPr>
          <w:rFonts w:ascii="Times New Roman" w:hAnsi="Times New Roman" w:cs="Times New Roman"/>
          <w:sz w:val="22"/>
          <w:szCs w:val="20"/>
          <w:lang w:val="en-US"/>
        </w:rPr>
        <w:t>s</w:t>
      </w:r>
      <w:r w:rsidRPr="002860A0">
        <w:rPr>
          <w:rFonts w:ascii="Times New Roman" w:hAnsi="Times New Roman" w:cs="Times New Roman"/>
          <w:sz w:val="22"/>
          <w:szCs w:val="20"/>
          <w:lang w:val="en-US"/>
        </w:rPr>
        <w:t>k:</w:t>
      </w:r>
    </w:p>
    <w:p w14:paraId="01F2277A" w14:textId="77777777" w:rsidR="002860A0" w:rsidRPr="002860A0" w:rsidRDefault="002860A0" w:rsidP="002860A0">
      <w:pPr>
        <w:ind w:left="720"/>
        <w:rPr>
          <w:i/>
          <w:lang w:val="en-US"/>
        </w:rPr>
      </w:pPr>
      <w:r w:rsidRPr="002860A0">
        <w:rPr>
          <w:i/>
          <w:lang w:val="en-US"/>
        </w:rPr>
        <w:t xml:space="preserve">The TSG RAN would like to ask RAN3 to complete for rel-15 by RAN #84, the Network Sharing support. </w:t>
      </w:r>
      <w:proofErr w:type="gramStart"/>
      <w:r w:rsidRPr="002860A0">
        <w:rPr>
          <w:i/>
          <w:lang w:val="en-US"/>
        </w:rPr>
        <w:t>In particular, for</w:t>
      </w:r>
      <w:proofErr w:type="gramEnd"/>
      <w:r w:rsidRPr="002860A0">
        <w:rPr>
          <w:i/>
          <w:lang w:val="en-US"/>
        </w:rPr>
        <w:t xml:space="preserve"> disaggregated gNB, the work should progress on both the “common interface” and the “Per PLMN interface”. The common interface solution should not be restricted to disaggregate gNB (Xn, X2 and F1 interfaces). This is in order to enable adequate logical architecture, appropriate transport handling.</w:t>
      </w:r>
    </w:p>
    <w:p w14:paraId="41E11530" w14:textId="77777777" w:rsidR="002860A0" w:rsidRPr="002860A0" w:rsidRDefault="002860A0" w:rsidP="002860A0">
      <w:pPr>
        <w:ind w:left="720"/>
        <w:rPr>
          <w:i/>
          <w:lang w:val="en-US"/>
        </w:rPr>
      </w:pPr>
      <w:r w:rsidRPr="002860A0">
        <w:rPr>
          <w:i/>
          <w:lang w:val="en-US"/>
        </w:rPr>
        <w:t>NG-RAN logical architecture may be clarified, if needed.</w:t>
      </w:r>
    </w:p>
    <w:p w14:paraId="145E1505" w14:textId="77777777" w:rsidR="002860A0" w:rsidRDefault="002860A0" w:rsidP="002860A0">
      <w:pPr>
        <w:rPr>
          <w:lang w:val="en-US"/>
        </w:rPr>
      </w:pPr>
      <w:r w:rsidRPr="002860A0">
        <w:rPr>
          <w:lang w:val="en-US"/>
        </w:rPr>
        <w:t>Obviously, TSG RAN wishes both solutions to be part of Rel-15.</w:t>
      </w:r>
    </w:p>
    <w:p w14:paraId="0E6D3B1D" w14:textId="11EEE1EE" w:rsidR="002A625D" w:rsidRDefault="002A625D" w:rsidP="002860A0">
      <w:pPr>
        <w:pStyle w:val="Heading1"/>
      </w:pPr>
      <w:r>
        <w:t>Discussion</w:t>
      </w:r>
    </w:p>
    <w:p w14:paraId="702CDD44" w14:textId="0879DD5B" w:rsidR="005C5849" w:rsidRDefault="003806EB" w:rsidP="005C5849">
      <w:pPr>
        <w:pStyle w:val="Heading2"/>
        <w:numPr>
          <w:ilvl w:val="0"/>
          <w:numId w:val="10"/>
        </w:numPr>
        <w:rPr>
          <w:lang w:val="en-US"/>
        </w:rPr>
      </w:pPr>
      <w:r>
        <w:rPr>
          <w:lang w:val="en-US"/>
        </w:rPr>
        <w:t>NG CGI</w:t>
      </w:r>
    </w:p>
    <w:p w14:paraId="1BD0D5C5" w14:textId="28C2F971" w:rsidR="00CB590C" w:rsidRDefault="003806EB" w:rsidP="005C5849">
      <w:pPr>
        <w:rPr>
          <w:lang w:val="en-US"/>
        </w:rPr>
      </w:pPr>
      <w:r>
        <w:rPr>
          <w:lang w:val="en-US"/>
        </w:rPr>
        <w:t xml:space="preserve"> </w:t>
      </w:r>
      <w:r w:rsidR="005C5849">
        <w:rPr>
          <w:lang w:val="en-US"/>
        </w:rPr>
        <w:t xml:space="preserve">NG CGI </w:t>
      </w:r>
      <w:r>
        <w:rPr>
          <w:lang w:val="en-US"/>
        </w:rPr>
        <w:t>in the RAN3 specs is defined as (taken from 38.413</w:t>
      </w:r>
      <w:r w:rsidR="00B90B24">
        <w:rPr>
          <w:lang w:val="en-US"/>
        </w:rPr>
        <w:t>[2]</w:t>
      </w:r>
      <w:r>
        <w:rPr>
          <w:lang w:val="en-US"/>
        </w:rPr>
        <w:t>):</w:t>
      </w:r>
    </w:p>
    <w:p w14:paraId="0BB9E335" w14:textId="110C3AF3" w:rsidR="003806EB" w:rsidRPr="00B90B24" w:rsidRDefault="003806EB" w:rsidP="00B90B24">
      <w:pPr>
        <w:pStyle w:val="Heading4"/>
        <w:numPr>
          <w:ilvl w:val="0"/>
          <w:numId w:val="0"/>
        </w:numPr>
        <w:ind w:left="1440"/>
        <w:rPr>
          <w:i/>
        </w:rPr>
      </w:pPr>
      <w:bookmarkStart w:id="0" w:name="_Toc534720541"/>
      <w:r w:rsidRPr="00B90B24">
        <w:rPr>
          <w:i/>
        </w:rPr>
        <w:t>9.3.1.7 NR CGI</w:t>
      </w:r>
      <w:bookmarkEnd w:id="0"/>
    </w:p>
    <w:p w14:paraId="754E2564" w14:textId="77777777" w:rsidR="003806EB" w:rsidRPr="00B90B24" w:rsidRDefault="003806EB" w:rsidP="00B90B24">
      <w:pPr>
        <w:keepNext/>
        <w:ind w:left="576"/>
        <w:rPr>
          <w:i/>
        </w:rPr>
      </w:pPr>
      <w:r w:rsidRPr="00B90B24">
        <w:rPr>
          <w:i/>
        </w:rPr>
        <w:t>This IE is used to globally identify an NR cell (see TS 38.300 [8]).</w:t>
      </w:r>
    </w:p>
    <w:tbl>
      <w:tblPr>
        <w:tblW w:w="8491"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651"/>
      </w:tblGrid>
      <w:tr w:rsidR="003806EB" w:rsidRPr="00B90B24" w14:paraId="0F3B38C0" w14:textId="77777777" w:rsidTr="00B90B24">
        <w:tc>
          <w:tcPr>
            <w:tcW w:w="2448" w:type="dxa"/>
          </w:tcPr>
          <w:p w14:paraId="51FD75EC" w14:textId="77777777" w:rsidR="003806EB" w:rsidRPr="00B90B24" w:rsidRDefault="003806EB" w:rsidP="00CF46FD">
            <w:pPr>
              <w:pStyle w:val="TAH"/>
              <w:rPr>
                <w:rFonts w:cs="Arial"/>
                <w:i/>
                <w:lang w:eastAsia="ja-JP"/>
              </w:rPr>
            </w:pPr>
            <w:r w:rsidRPr="00B90B24">
              <w:rPr>
                <w:rFonts w:cs="Arial"/>
                <w:i/>
                <w:lang w:eastAsia="ja-JP"/>
              </w:rPr>
              <w:t>IE/Group Name</w:t>
            </w:r>
          </w:p>
        </w:tc>
        <w:tc>
          <w:tcPr>
            <w:tcW w:w="1080" w:type="dxa"/>
          </w:tcPr>
          <w:p w14:paraId="03A1BDAC" w14:textId="77777777" w:rsidR="003806EB" w:rsidRPr="00B90B24" w:rsidRDefault="003806EB" w:rsidP="00CF46FD">
            <w:pPr>
              <w:pStyle w:val="TAH"/>
              <w:rPr>
                <w:rFonts w:cs="Arial"/>
                <w:i/>
                <w:lang w:eastAsia="ja-JP"/>
              </w:rPr>
            </w:pPr>
            <w:r w:rsidRPr="00B90B24">
              <w:rPr>
                <w:rFonts w:cs="Arial"/>
                <w:i/>
                <w:lang w:eastAsia="ja-JP"/>
              </w:rPr>
              <w:t>Presence</w:t>
            </w:r>
          </w:p>
        </w:tc>
        <w:tc>
          <w:tcPr>
            <w:tcW w:w="1440" w:type="dxa"/>
          </w:tcPr>
          <w:p w14:paraId="6EF62847" w14:textId="77777777" w:rsidR="003806EB" w:rsidRPr="00B90B24" w:rsidRDefault="003806EB" w:rsidP="00CF46FD">
            <w:pPr>
              <w:pStyle w:val="TAH"/>
              <w:rPr>
                <w:rFonts w:cs="Arial"/>
                <w:i/>
                <w:lang w:eastAsia="ja-JP"/>
              </w:rPr>
            </w:pPr>
            <w:r w:rsidRPr="00B90B24">
              <w:rPr>
                <w:rFonts w:cs="Arial"/>
                <w:i/>
                <w:lang w:eastAsia="ja-JP"/>
              </w:rPr>
              <w:t>Range</w:t>
            </w:r>
          </w:p>
        </w:tc>
        <w:tc>
          <w:tcPr>
            <w:tcW w:w="1872" w:type="dxa"/>
          </w:tcPr>
          <w:p w14:paraId="74741FDB" w14:textId="77777777" w:rsidR="003806EB" w:rsidRPr="00B90B24" w:rsidRDefault="003806EB" w:rsidP="00CF46FD">
            <w:pPr>
              <w:pStyle w:val="TAH"/>
              <w:rPr>
                <w:rFonts w:cs="Arial"/>
                <w:i/>
                <w:lang w:eastAsia="ja-JP"/>
              </w:rPr>
            </w:pPr>
            <w:r w:rsidRPr="00B90B24">
              <w:rPr>
                <w:rFonts w:cs="Arial"/>
                <w:i/>
                <w:lang w:eastAsia="ja-JP"/>
              </w:rPr>
              <w:t>IE type and reference</w:t>
            </w:r>
          </w:p>
        </w:tc>
        <w:tc>
          <w:tcPr>
            <w:tcW w:w="1651" w:type="dxa"/>
          </w:tcPr>
          <w:p w14:paraId="25F6FC56" w14:textId="77777777" w:rsidR="003806EB" w:rsidRPr="00B90B24" w:rsidRDefault="003806EB" w:rsidP="00CF46FD">
            <w:pPr>
              <w:pStyle w:val="TAH"/>
              <w:rPr>
                <w:rFonts w:cs="Arial"/>
                <w:i/>
                <w:lang w:eastAsia="ja-JP"/>
              </w:rPr>
            </w:pPr>
            <w:r w:rsidRPr="00B90B24">
              <w:rPr>
                <w:rFonts w:cs="Arial"/>
                <w:i/>
                <w:lang w:eastAsia="ja-JP"/>
              </w:rPr>
              <w:t>Semantics description</w:t>
            </w:r>
          </w:p>
        </w:tc>
      </w:tr>
      <w:tr w:rsidR="003806EB" w:rsidRPr="00B90B24" w14:paraId="3B87E9D4" w14:textId="77777777" w:rsidTr="00B90B24">
        <w:tc>
          <w:tcPr>
            <w:tcW w:w="2448" w:type="dxa"/>
          </w:tcPr>
          <w:p w14:paraId="6DFCD87E" w14:textId="77777777" w:rsidR="003806EB" w:rsidRPr="00B90B24" w:rsidRDefault="003806EB" w:rsidP="00CF46FD">
            <w:pPr>
              <w:pStyle w:val="TAL"/>
              <w:rPr>
                <w:rFonts w:eastAsia="Batang" w:cs="Arial"/>
                <w:i/>
                <w:lang w:eastAsia="ja-JP"/>
              </w:rPr>
            </w:pPr>
            <w:r w:rsidRPr="00B90B24">
              <w:rPr>
                <w:rFonts w:cs="Arial"/>
                <w:i/>
                <w:lang w:eastAsia="ja-JP"/>
              </w:rPr>
              <w:t>PLMN</w:t>
            </w:r>
            <w:r w:rsidRPr="00B90B24">
              <w:rPr>
                <w:rFonts w:eastAsia="MS Mincho" w:cs="Arial"/>
                <w:i/>
                <w:lang w:eastAsia="ja-JP"/>
              </w:rPr>
              <w:t xml:space="preserve"> </w:t>
            </w:r>
            <w:r w:rsidRPr="00B90B24">
              <w:rPr>
                <w:rFonts w:cs="Arial"/>
                <w:i/>
                <w:lang w:eastAsia="ja-JP"/>
              </w:rPr>
              <w:t>Identity</w:t>
            </w:r>
          </w:p>
        </w:tc>
        <w:tc>
          <w:tcPr>
            <w:tcW w:w="1080" w:type="dxa"/>
          </w:tcPr>
          <w:p w14:paraId="180A4333" w14:textId="77777777" w:rsidR="003806EB" w:rsidRPr="00B90B24" w:rsidRDefault="003806EB" w:rsidP="00CF46FD">
            <w:pPr>
              <w:pStyle w:val="TAL"/>
              <w:rPr>
                <w:rFonts w:cs="Arial"/>
                <w:i/>
                <w:lang w:eastAsia="ja-JP"/>
              </w:rPr>
            </w:pPr>
            <w:r w:rsidRPr="00B90B24">
              <w:rPr>
                <w:rFonts w:cs="Arial"/>
                <w:i/>
                <w:lang w:eastAsia="ja-JP"/>
              </w:rPr>
              <w:t>M</w:t>
            </w:r>
          </w:p>
        </w:tc>
        <w:tc>
          <w:tcPr>
            <w:tcW w:w="1440" w:type="dxa"/>
          </w:tcPr>
          <w:p w14:paraId="5CC0C4E1" w14:textId="77777777" w:rsidR="003806EB" w:rsidRPr="00B90B24" w:rsidRDefault="003806EB" w:rsidP="00CF46FD">
            <w:pPr>
              <w:pStyle w:val="TAL"/>
              <w:rPr>
                <w:i/>
                <w:lang w:eastAsia="ja-JP"/>
              </w:rPr>
            </w:pPr>
          </w:p>
        </w:tc>
        <w:tc>
          <w:tcPr>
            <w:tcW w:w="1872" w:type="dxa"/>
          </w:tcPr>
          <w:p w14:paraId="6A4DE545" w14:textId="77777777" w:rsidR="003806EB" w:rsidRPr="00B90B24" w:rsidRDefault="003806EB" w:rsidP="00CF46FD">
            <w:pPr>
              <w:pStyle w:val="TAL"/>
              <w:rPr>
                <w:i/>
                <w:lang w:eastAsia="ja-JP"/>
              </w:rPr>
            </w:pPr>
            <w:r w:rsidRPr="00B90B24">
              <w:rPr>
                <w:i/>
                <w:lang w:eastAsia="ja-JP"/>
              </w:rPr>
              <w:t>9.3.3.5</w:t>
            </w:r>
          </w:p>
        </w:tc>
        <w:tc>
          <w:tcPr>
            <w:tcW w:w="1651" w:type="dxa"/>
          </w:tcPr>
          <w:p w14:paraId="496179BB" w14:textId="77777777" w:rsidR="003806EB" w:rsidRPr="00B90B24" w:rsidRDefault="003806EB" w:rsidP="00CF46FD">
            <w:pPr>
              <w:pStyle w:val="TAL"/>
              <w:rPr>
                <w:i/>
                <w:lang w:eastAsia="ja-JP"/>
              </w:rPr>
            </w:pPr>
          </w:p>
        </w:tc>
      </w:tr>
      <w:tr w:rsidR="003806EB" w:rsidRPr="00B90B24" w14:paraId="459C9AFC" w14:textId="77777777" w:rsidTr="00B90B24">
        <w:tc>
          <w:tcPr>
            <w:tcW w:w="2448" w:type="dxa"/>
          </w:tcPr>
          <w:p w14:paraId="68223D42" w14:textId="77777777" w:rsidR="003806EB" w:rsidRPr="00B90B24" w:rsidRDefault="003806EB" w:rsidP="00CF46FD">
            <w:pPr>
              <w:pStyle w:val="TAL"/>
              <w:rPr>
                <w:rFonts w:eastAsia="Batang" w:cs="Arial"/>
                <w:i/>
                <w:lang w:eastAsia="ja-JP"/>
              </w:rPr>
            </w:pPr>
            <w:r w:rsidRPr="00B90B24">
              <w:rPr>
                <w:rFonts w:cs="Arial"/>
                <w:i/>
                <w:lang w:eastAsia="ja-JP"/>
              </w:rPr>
              <w:t>NR Cell Identity</w:t>
            </w:r>
          </w:p>
        </w:tc>
        <w:tc>
          <w:tcPr>
            <w:tcW w:w="1080" w:type="dxa"/>
          </w:tcPr>
          <w:p w14:paraId="0495059D" w14:textId="77777777" w:rsidR="003806EB" w:rsidRPr="00B90B24" w:rsidRDefault="003806EB" w:rsidP="00CF46FD">
            <w:pPr>
              <w:pStyle w:val="TAL"/>
              <w:rPr>
                <w:rFonts w:cs="Arial"/>
                <w:i/>
                <w:lang w:eastAsia="ja-JP"/>
              </w:rPr>
            </w:pPr>
            <w:r w:rsidRPr="00B90B24">
              <w:rPr>
                <w:rFonts w:cs="Arial"/>
                <w:i/>
                <w:lang w:eastAsia="ja-JP"/>
              </w:rPr>
              <w:t>M</w:t>
            </w:r>
          </w:p>
        </w:tc>
        <w:tc>
          <w:tcPr>
            <w:tcW w:w="1440" w:type="dxa"/>
          </w:tcPr>
          <w:p w14:paraId="64051C71" w14:textId="77777777" w:rsidR="003806EB" w:rsidRPr="00B90B24" w:rsidRDefault="003806EB" w:rsidP="00CF46FD">
            <w:pPr>
              <w:pStyle w:val="TAL"/>
              <w:rPr>
                <w:i/>
                <w:lang w:eastAsia="ja-JP"/>
              </w:rPr>
            </w:pPr>
          </w:p>
        </w:tc>
        <w:tc>
          <w:tcPr>
            <w:tcW w:w="1872" w:type="dxa"/>
          </w:tcPr>
          <w:p w14:paraId="33211509" w14:textId="77777777" w:rsidR="003806EB" w:rsidRPr="00B90B24" w:rsidRDefault="003806EB" w:rsidP="00CF46FD">
            <w:pPr>
              <w:pStyle w:val="TAL"/>
              <w:rPr>
                <w:i/>
                <w:lang w:eastAsia="ja-JP"/>
              </w:rPr>
            </w:pPr>
            <w:r w:rsidRPr="00B90B24">
              <w:rPr>
                <w:rFonts w:cs="Arial"/>
                <w:i/>
                <w:lang w:eastAsia="ja-JP"/>
              </w:rPr>
              <w:t>BIT STRING (</w:t>
            </w:r>
            <w:proofErr w:type="gramStart"/>
            <w:r w:rsidRPr="00B90B24">
              <w:rPr>
                <w:rFonts w:cs="Arial"/>
                <w:i/>
                <w:lang w:eastAsia="ja-JP"/>
              </w:rPr>
              <w:t>SIZE(</w:t>
            </w:r>
            <w:proofErr w:type="gramEnd"/>
            <w:r w:rsidRPr="00B90B24">
              <w:rPr>
                <w:rFonts w:cs="Arial"/>
                <w:i/>
                <w:lang w:eastAsia="ja-JP"/>
              </w:rPr>
              <w:t>36))</w:t>
            </w:r>
          </w:p>
        </w:tc>
        <w:tc>
          <w:tcPr>
            <w:tcW w:w="1651" w:type="dxa"/>
          </w:tcPr>
          <w:p w14:paraId="1730C906" w14:textId="77777777" w:rsidR="003806EB" w:rsidRPr="00B90B24" w:rsidRDefault="003806EB" w:rsidP="00CF46FD">
            <w:pPr>
              <w:pStyle w:val="TAL"/>
              <w:rPr>
                <w:rFonts w:cs="Arial"/>
                <w:i/>
                <w:szCs w:val="18"/>
                <w:lang w:eastAsia="ja-JP"/>
              </w:rPr>
            </w:pPr>
            <w:r w:rsidRPr="00B90B24">
              <w:rPr>
                <w:rFonts w:cs="Arial"/>
                <w:i/>
                <w:lang w:eastAsia="ja-JP"/>
              </w:rPr>
              <w:t>The leftmost bits of the NR Cell Identity IE correspond to the gNB ID (defined in subclause 9.3.1.6).</w:t>
            </w:r>
          </w:p>
        </w:tc>
      </w:tr>
    </w:tbl>
    <w:p w14:paraId="23F28B0B" w14:textId="77777777" w:rsidR="003806EB" w:rsidRPr="00B90B24" w:rsidRDefault="003806EB" w:rsidP="00B90B24">
      <w:pPr>
        <w:ind w:left="576"/>
        <w:rPr>
          <w:i/>
        </w:rPr>
      </w:pPr>
    </w:p>
    <w:p w14:paraId="496A3D2E" w14:textId="2815C4CD" w:rsidR="003806EB" w:rsidRDefault="005542BE" w:rsidP="00712174">
      <w:r>
        <w:t>Thus, from the semantic description the NR Cell Identity include a gNB ID in the left most bits, the definition for the E-UTRA CGI is similarly defined with an ng eNB ID in the left most bits.</w:t>
      </w:r>
    </w:p>
    <w:p w14:paraId="638FE75A" w14:textId="22AB541E" w:rsidR="005542BE" w:rsidRDefault="005542BE" w:rsidP="00712174"/>
    <w:p w14:paraId="515DF7C7" w14:textId="4E5694FA" w:rsidR="00693781" w:rsidRDefault="00B90B24" w:rsidP="00712174">
      <w:r>
        <w:t>Therefore</w:t>
      </w:r>
      <w:r w:rsidR="00E0402F">
        <w:t>,</w:t>
      </w:r>
      <w:r w:rsidR="005542BE">
        <w:t xml:space="preserve"> when a </w:t>
      </w:r>
      <w:proofErr w:type="gramStart"/>
      <w:r w:rsidR="005542BE">
        <w:t>NR cell broadcasts multiple Cell identit</w:t>
      </w:r>
      <w:r w:rsidR="005C5849">
        <w:t>ies</w:t>
      </w:r>
      <w:proofErr w:type="gramEnd"/>
      <w:r w:rsidR="005C5849">
        <w:t xml:space="preserve"> </w:t>
      </w:r>
      <w:r w:rsidR="005542BE">
        <w:t xml:space="preserve">it is possible </w:t>
      </w:r>
      <w:r w:rsidR="00693781">
        <w:t xml:space="preserve">it is transmitting multiple gNB IDs. </w:t>
      </w:r>
    </w:p>
    <w:p w14:paraId="3A9C5BE9" w14:textId="58ACED23" w:rsidR="005C5849" w:rsidRDefault="00247ADF" w:rsidP="00247ADF">
      <w:pPr>
        <w:pStyle w:val="Heading2"/>
        <w:numPr>
          <w:ilvl w:val="0"/>
          <w:numId w:val="10"/>
        </w:numPr>
      </w:pPr>
      <w:r>
        <w:lastRenderedPageBreak/>
        <w:t>Issue with multiple gNB ids</w:t>
      </w:r>
    </w:p>
    <w:p w14:paraId="2A032E44" w14:textId="2F768C6E" w:rsidR="00E0402F" w:rsidRDefault="00E0402F" w:rsidP="00712174">
      <w:r>
        <w:t>One way to see that this is an issue is to imagine a RAN sharing situation with an aggregated gNB</w:t>
      </w:r>
      <w:r w:rsidR="008140F2">
        <w:t xml:space="preserve"> deployment (no F1 interface concerns)</w:t>
      </w:r>
      <w:r w:rsidR="005C5849">
        <w:t xml:space="preserve"> with a single cell</w:t>
      </w:r>
      <w:r>
        <w:t xml:space="preserve"> shared between operator A and operator B. Operator A has a PLMN=X, and the NR Cell identity contains (gNB ID = 1 and cell = 1) operator B has a PLMN=Y and the NR cell identity contains (gNB ID = 2 and cell = 1). When a UE attaches to </w:t>
      </w:r>
      <w:r w:rsidR="005C5849">
        <w:t xml:space="preserve">the cell that belongs to operator A (PLMN=X) it will be attached to gNB ID =1. When another UE attaches to the cell that belongs to operator B (PLMN=Y) it will be attached to gNB ID = 2. Therefore, these two UEs will be attached to two different logical </w:t>
      </w:r>
      <w:proofErr w:type="spellStart"/>
      <w:r w:rsidR="005C5849">
        <w:t>gNBs</w:t>
      </w:r>
      <w:proofErr w:type="spellEnd"/>
      <w:r w:rsidR="005C5849">
        <w:t xml:space="preserve"> while attached to the same physical cell. </w:t>
      </w:r>
    </w:p>
    <w:p w14:paraId="71F6140D" w14:textId="6810B918" w:rsidR="00304197" w:rsidRDefault="00843754" w:rsidP="00843754">
      <w:pPr>
        <w:jc w:val="center"/>
      </w:pPr>
      <w:r>
        <w:object w:dxaOrig="8388" w:dyaOrig="4093" w14:anchorId="6E01E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69.5pt" o:ole="">
            <v:imagedata r:id="rId7" o:title=""/>
          </v:shape>
          <o:OLEObject Type="Embed" ProgID="Visio.Drawing.15" ShapeID="_x0000_i1025" DrawAspect="Content" ObjectID="_1615289707" r:id="rId8"/>
        </w:object>
      </w:r>
    </w:p>
    <w:p w14:paraId="7BBB3C3D" w14:textId="3BC10010" w:rsidR="00843754" w:rsidRDefault="00843754" w:rsidP="00843754">
      <w:pPr>
        <w:pStyle w:val="TF"/>
      </w:pPr>
      <w:r>
        <w:t>NR Radio with RAN sharing and multiple cell ids</w:t>
      </w:r>
    </w:p>
    <w:p w14:paraId="406B0A95" w14:textId="351925F9" w:rsidR="00247ADF" w:rsidRDefault="00247ADF" w:rsidP="00247ADF">
      <w:pPr>
        <w:pStyle w:val="Heading2"/>
        <w:numPr>
          <w:ilvl w:val="0"/>
          <w:numId w:val="10"/>
        </w:numPr>
      </w:pPr>
      <w:r>
        <w:t>Multiple logical nodes sharing a radio?</w:t>
      </w:r>
    </w:p>
    <w:p w14:paraId="4597733D" w14:textId="5F5A01C9" w:rsidR="005C5849" w:rsidRDefault="00247ADF" w:rsidP="00712174">
      <w:r>
        <w:t>Logical architecture was agreed all the way back in R99 to allow many different types of physical deployments without having to have different specified architectures.</w:t>
      </w:r>
    </w:p>
    <w:p w14:paraId="41CB9F73" w14:textId="0AF91DC5" w:rsidR="00CB72BD" w:rsidRDefault="00247ADF" w:rsidP="00712174">
      <w:r>
        <w:t>One only has to look to some other 5G examples to see multiple logical nodes sharing a radio. Take for example an EUTRA radio that supports both pre-R15 UEs (connects to EPC) and R</w:t>
      </w:r>
      <w:r w:rsidR="00CB72BD">
        <w:t>15+ UEs that support the NGC the equipment that houses the EUTRA radio would have to contain both a logical eNB and a logical ng-eNB. A picture somewhat like below:</w:t>
      </w:r>
    </w:p>
    <w:bookmarkStart w:id="1" w:name="_MON_1254926154"/>
    <w:bookmarkEnd w:id="1"/>
    <w:p w14:paraId="11F7B575" w14:textId="33B8281D" w:rsidR="00CB72BD" w:rsidRDefault="00843754" w:rsidP="00EE0BAF">
      <w:pPr>
        <w:jc w:val="center"/>
      </w:pPr>
      <w:r w:rsidRPr="0078295B">
        <w:rPr>
          <w:lang w:eastAsia="ja-JP"/>
        </w:rPr>
        <w:object w:dxaOrig="7425" w:dyaOrig="4529" w14:anchorId="66F90765">
          <v:shape id="_x0000_i1026" type="#_x0000_t75" style="width:371.25pt;height:190.5pt" o:ole="">
            <v:imagedata r:id="rId9" o:title="" croptop="4167f" cropbottom="6251f"/>
          </v:shape>
          <o:OLEObject Type="Embed" ProgID="Word.Picture.8" ShapeID="_x0000_i1026" DrawAspect="Content" ObjectID="_1615289708" r:id="rId10"/>
        </w:object>
      </w:r>
    </w:p>
    <w:p w14:paraId="018704AF" w14:textId="33CB4E65" w:rsidR="00304197" w:rsidRDefault="00304197" w:rsidP="00304197">
      <w:pPr>
        <w:pStyle w:val="TF"/>
      </w:pPr>
      <w:r>
        <w:t>Logical Architecture Supporting E-UTRA with NGC and EPC Connectivity</w:t>
      </w:r>
    </w:p>
    <w:p w14:paraId="628D93C9" w14:textId="2319D5E5" w:rsidR="00247ADF" w:rsidRDefault="00CB72BD" w:rsidP="00712174">
      <w:r>
        <w:lastRenderedPageBreak/>
        <w:t>A similar diagram for a gNB can be drawn if there is simultaneous support of EN-DC (</w:t>
      </w:r>
      <w:proofErr w:type="spellStart"/>
      <w:r>
        <w:t>en</w:t>
      </w:r>
      <w:proofErr w:type="spellEnd"/>
      <w:r>
        <w:t>-gNB) and standalone gNB.</w:t>
      </w:r>
    </w:p>
    <w:p w14:paraId="564573FF" w14:textId="783F4C59" w:rsidR="00CB72BD" w:rsidRDefault="00CB72BD" w:rsidP="00CB72BD">
      <w:pPr>
        <w:pStyle w:val="Heading2"/>
        <w:numPr>
          <w:ilvl w:val="0"/>
          <w:numId w:val="10"/>
        </w:numPr>
      </w:pPr>
      <w:r>
        <w:t>Logical interfaces</w:t>
      </w:r>
    </w:p>
    <w:p w14:paraId="2F60E6B2" w14:textId="6069E2C0" w:rsidR="00CB72BD" w:rsidRDefault="00CB72BD" w:rsidP="00CB72BD">
      <w:r>
        <w:t>A logical interface is defined between two logical nodes, for example for the Xn interface the following general principles are is in 38.420</w:t>
      </w:r>
      <w:r w:rsidR="00B90B24">
        <w:t>[4]</w:t>
      </w:r>
      <w:r>
        <w:t>:</w:t>
      </w:r>
    </w:p>
    <w:p w14:paraId="3EFE31F8" w14:textId="2CEDE76F" w:rsidR="00CB72BD" w:rsidRPr="00CB72BD" w:rsidRDefault="00CB72BD" w:rsidP="00CB72BD">
      <w:pPr>
        <w:pStyle w:val="Heading2"/>
        <w:ind w:left="720"/>
        <w:rPr>
          <w:i/>
        </w:rPr>
      </w:pPr>
      <w:bookmarkStart w:id="2" w:name="_Toc534717864"/>
      <w:r w:rsidRPr="00CB72BD">
        <w:rPr>
          <w:i/>
        </w:rPr>
        <w:t>4.2 Xn interface general principles</w:t>
      </w:r>
      <w:bookmarkEnd w:id="2"/>
    </w:p>
    <w:p w14:paraId="38CFC95E" w14:textId="77777777" w:rsidR="00CB72BD" w:rsidRPr="00CB72BD" w:rsidRDefault="00CB72BD" w:rsidP="00CB72BD">
      <w:pPr>
        <w:ind w:left="720"/>
        <w:rPr>
          <w:rFonts w:eastAsia="Malgun Gothic"/>
          <w:i/>
        </w:rPr>
      </w:pPr>
      <w:r w:rsidRPr="00CB72BD">
        <w:rPr>
          <w:rFonts w:eastAsia="Malgun Gothic"/>
          <w:i/>
        </w:rPr>
        <w:t>The general principles for the specification of the Xn interface are as follows:</w:t>
      </w:r>
    </w:p>
    <w:p w14:paraId="166CEDF2" w14:textId="77777777" w:rsidR="00CB72BD" w:rsidRPr="00CB72BD" w:rsidRDefault="00CB72BD" w:rsidP="00CB72BD">
      <w:pPr>
        <w:pStyle w:val="B1"/>
        <w:ind w:left="1288"/>
        <w:rPr>
          <w:rFonts w:eastAsia="Malgun Gothic"/>
          <w:i/>
        </w:rPr>
      </w:pPr>
      <w:r w:rsidRPr="00CB72BD">
        <w:rPr>
          <w:rFonts w:eastAsia="Malgun Gothic"/>
          <w:i/>
        </w:rPr>
        <w:t>-</w:t>
      </w:r>
      <w:r w:rsidRPr="00CB72BD">
        <w:rPr>
          <w:rFonts w:eastAsia="Malgun Gothic"/>
          <w:i/>
        </w:rPr>
        <w:tab/>
        <w:t>the Xn interface is open;</w:t>
      </w:r>
    </w:p>
    <w:p w14:paraId="6BF12BBC" w14:textId="77777777" w:rsidR="00CB72BD" w:rsidRPr="00CB72BD" w:rsidRDefault="00CB72BD" w:rsidP="00CB72BD">
      <w:pPr>
        <w:pStyle w:val="B1"/>
        <w:ind w:left="1288"/>
        <w:rPr>
          <w:rFonts w:eastAsia="Malgun Gothic"/>
          <w:i/>
        </w:rPr>
      </w:pPr>
      <w:r w:rsidRPr="00CB72BD">
        <w:rPr>
          <w:rFonts w:eastAsia="Malgun Gothic"/>
          <w:i/>
        </w:rPr>
        <w:t>-</w:t>
      </w:r>
      <w:r w:rsidRPr="00CB72BD">
        <w:rPr>
          <w:rFonts w:eastAsia="Malgun Gothic"/>
          <w:i/>
        </w:rPr>
        <w:tab/>
        <w:t xml:space="preserve">the Xn interface supports the exchange of signalling information between </w:t>
      </w:r>
      <w:r w:rsidRPr="00CB72BD">
        <w:rPr>
          <w:rFonts w:eastAsia="Malgun Gothic"/>
          <w:b/>
          <w:i/>
        </w:rPr>
        <w:t>two NG-RAN nodes</w:t>
      </w:r>
      <w:r w:rsidRPr="00CB72BD">
        <w:rPr>
          <w:rFonts w:eastAsia="Malgun Gothic"/>
          <w:i/>
        </w:rPr>
        <w:t>, and the forwarding of PDUs to the respective tunnel endpoints;</w:t>
      </w:r>
    </w:p>
    <w:p w14:paraId="1E27CECC" w14:textId="77777777" w:rsidR="00CB72BD" w:rsidRPr="00CB72BD" w:rsidRDefault="00CB72BD" w:rsidP="00CB72BD">
      <w:pPr>
        <w:pStyle w:val="B1"/>
        <w:ind w:left="1288"/>
        <w:rPr>
          <w:i/>
        </w:rPr>
      </w:pPr>
      <w:r w:rsidRPr="00CB72BD">
        <w:rPr>
          <w:rFonts w:eastAsia="Malgun Gothic"/>
          <w:i/>
        </w:rPr>
        <w:t>-</w:t>
      </w:r>
      <w:r w:rsidRPr="00CB72BD">
        <w:rPr>
          <w:rFonts w:eastAsia="Malgun Gothic"/>
          <w:i/>
        </w:rPr>
        <w:tab/>
        <w:t xml:space="preserve">from a logical standpoint, the Xn is a point-to-point interface between </w:t>
      </w:r>
      <w:r w:rsidRPr="00CB72BD">
        <w:rPr>
          <w:rFonts w:eastAsia="Malgun Gothic"/>
          <w:b/>
          <w:i/>
        </w:rPr>
        <w:t>two NG-RAN nodes</w:t>
      </w:r>
      <w:r w:rsidRPr="00CB72BD">
        <w:rPr>
          <w:rFonts w:eastAsia="Malgun Gothic"/>
          <w:i/>
        </w:rPr>
        <w:t>. A point-to-point logical interface should be feasible even in the absence of a physical direct connection between the two NG-RAN nodes.</w:t>
      </w:r>
    </w:p>
    <w:p w14:paraId="399C6697" w14:textId="0EEA5196" w:rsidR="00CB72BD" w:rsidRDefault="008140F2" w:rsidP="00CB72BD">
      <w:r>
        <w:t xml:space="preserve">Therefore, </w:t>
      </w:r>
      <w:proofErr w:type="gramStart"/>
      <w:r>
        <w:t>it is clear that if</w:t>
      </w:r>
      <w:proofErr w:type="gramEnd"/>
      <w:r>
        <w:t xml:space="preserve"> you go back to the example in section 2 with the sharing operators</w:t>
      </w:r>
      <w:r w:rsidR="00EE0BAF">
        <w:t xml:space="preserve"> -</w:t>
      </w:r>
      <w:r>
        <w:t xml:space="preserve"> if there are neighbour </w:t>
      </w:r>
      <w:proofErr w:type="spellStart"/>
      <w:r>
        <w:t>gNBs</w:t>
      </w:r>
      <w:proofErr w:type="spellEnd"/>
      <w:r>
        <w:t xml:space="preserve"> for each operator there would need to be 2 Xn interfaces</w:t>
      </w:r>
      <w:r w:rsidR="00EE0BAF">
        <w:t>,</w:t>
      </w:r>
      <w:r>
        <w:t xml:space="preserve"> one for each operator. </w:t>
      </w:r>
    </w:p>
    <w:p w14:paraId="564AED68" w14:textId="6C7ACA86" w:rsidR="008140F2" w:rsidRDefault="008140F2" w:rsidP="008140F2">
      <w:pPr>
        <w:pStyle w:val="Heading2"/>
        <w:numPr>
          <w:ilvl w:val="0"/>
          <w:numId w:val="10"/>
        </w:numPr>
      </w:pPr>
      <w:r>
        <w:t>What to do?</w:t>
      </w:r>
    </w:p>
    <w:p w14:paraId="3DB86D71" w14:textId="23E15CE3" w:rsidR="008140F2" w:rsidRDefault="008140F2" w:rsidP="008140F2">
      <w:r>
        <w:t>Since we must find a way to support a common interface what are the possible options?</w:t>
      </w:r>
    </w:p>
    <w:p w14:paraId="58118AA6" w14:textId="64D65D73" w:rsidR="008140F2" w:rsidRDefault="008140F2" w:rsidP="008140F2">
      <w:r>
        <w:t>Here is a list of possible solutions</w:t>
      </w:r>
      <w:r w:rsidR="00915A50">
        <w:t xml:space="preserve"> (others are welcome </w:t>
      </w:r>
      <w:r w:rsidR="00915A50">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915A50">
        <w:t>)</w:t>
      </w:r>
      <w:r>
        <w:t>:</w:t>
      </w:r>
    </w:p>
    <w:p w14:paraId="5E184F23" w14:textId="0C6D1C73" w:rsidR="008140F2" w:rsidRPr="00EE0BAF" w:rsidRDefault="008140F2" w:rsidP="008140F2">
      <w:pPr>
        <w:pStyle w:val="ListParagraph"/>
        <w:numPr>
          <w:ilvl w:val="0"/>
          <w:numId w:val="11"/>
        </w:numPr>
        <w:rPr>
          <w:b/>
        </w:rPr>
      </w:pPr>
      <w:r w:rsidRPr="00EE0BAF">
        <w:rPr>
          <w:b/>
        </w:rPr>
        <w:t>Have only 1 logical node in the deployment</w:t>
      </w:r>
    </w:p>
    <w:p w14:paraId="1AF07C66" w14:textId="6F19B397" w:rsidR="00915A50" w:rsidRPr="00EE0BAF" w:rsidRDefault="00915A50" w:rsidP="008140F2">
      <w:pPr>
        <w:pStyle w:val="ListParagraph"/>
        <w:numPr>
          <w:ilvl w:val="1"/>
          <w:numId w:val="11"/>
        </w:numPr>
        <w:rPr>
          <w:b/>
        </w:rPr>
      </w:pPr>
      <w:r w:rsidRPr="00EE0BAF">
        <w:rPr>
          <w:b/>
        </w:rPr>
        <w:t xml:space="preserve">Single gNB id broadcast </w:t>
      </w:r>
    </w:p>
    <w:p w14:paraId="50E9284A" w14:textId="4CBC4E6E" w:rsidR="008140F2" w:rsidRDefault="008140F2" w:rsidP="00915A50">
      <w:pPr>
        <w:ind w:left="1080"/>
      </w:pPr>
      <w:r>
        <w:t>By mandating in some way (stage 2 and</w:t>
      </w:r>
      <w:r w:rsidR="00915A50">
        <w:t>/</w:t>
      </w:r>
      <w:r>
        <w:t>or stage 3)</w:t>
      </w:r>
      <w:r w:rsidR="00915A50">
        <w:t xml:space="preserve"> that for the common interface the gNB Id part of all the broadcasted Cell identifiers would be the same. If a deployment wants to use different gNB IDs for each operator then the per-PLMN interface is the only option. This could be done in the stage 3 signalling or someway in the stage 2 description</w:t>
      </w:r>
    </w:p>
    <w:p w14:paraId="13E2DB49" w14:textId="7130D44B" w:rsidR="00915A50" w:rsidRPr="00EE0BAF" w:rsidRDefault="00915A50" w:rsidP="008140F2">
      <w:pPr>
        <w:pStyle w:val="ListParagraph"/>
        <w:numPr>
          <w:ilvl w:val="1"/>
          <w:numId w:val="11"/>
        </w:numPr>
        <w:rPr>
          <w:b/>
        </w:rPr>
      </w:pPr>
      <w:r w:rsidRPr="00EE0BAF">
        <w:rPr>
          <w:b/>
        </w:rPr>
        <w:t>Mapping of the 2</w:t>
      </w:r>
      <w:r w:rsidRPr="00EE0BAF">
        <w:rPr>
          <w:b/>
          <w:vertAlign w:val="superscript"/>
        </w:rPr>
        <w:t>nd</w:t>
      </w:r>
      <w:r w:rsidRPr="00EE0BAF">
        <w:rPr>
          <w:b/>
        </w:rPr>
        <w:t xml:space="preserve"> and beyond cell ids back to a primary</w:t>
      </w:r>
    </w:p>
    <w:p w14:paraId="794D2619" w14:textId="21A6DB3B" w:rsidR="00915A50" w:rsidRDefault="00915A50" w:rsidP="00915A50">
      <w:pPr>
        <w:ind w:left="1080"/>
      </w:pPr>
      <w:r>
        <w:t xml:space="preserve">This is a solution </w:t>
      </w:r>
      <w:r w:rsidR="00EE0BAF">
        <w:t xml:space="preserve">that is </w:t>
      </w:r>
      <w:proofErr w:type="gramStart"/>
      <w:r>
        <w:t>similar to</w:t>
      </w:r>
      <w:proofErr w:type="gramEnd"/>
      <w:r>
        <w:t xml:space="preserve"> what was proposed in </w:t>
      </w:r>
      <w:r w:rsidR="00EE0BAF" w:rsidRPr="00B90B24">
        <w:t>R3-190163</w:t>
      </w:r>
      <w:r w:rsidR="00EE0BAF">
        <w:t xml:space="preserve"> </w:t>
      </w:r>
      <w:r>
        <w:t>[</w:t>
      </w:r>
      <w:r w:rsidR="00B90B24">
        <w:t>3</w:t>
      </w:r>
      <w:r>
        <w:t>] last meeting, where the first cell identity is used for the logical cell identity and the 2</w:t>
      </w:r>
      <w:r w:rsidRPr="00915A50">
        <w:rPr>
          <w:vertAlign w:val="superscript"/>
        </w:rPr>
        <w:t>nd</w:t>
      </w:r>
      <w:r>
        <w:t xml:space="preserve"> and beyond are equivalent cells. Whether it is a version of what is in [</w:t>
      </w:r>
      <w:r w:rsidR="00B90B24">
        <w:t>3</w:t>
      </w:r>
      <w:r>
        <w:t>] or something similar, the architecture would see only a single gNB-ID.</w:t>
      </w:r>
      <w:r w:rsidR="009D525D">
        <w:t xml:space="preserve"> Whether the UE would need to know is an issue to be discussed.</w:t>
      </w:r>
    </w:p>
    <w:p w14:paraId="6589C3FE" w14:textId="5B5A51EA" w:rsidR="00915A50" w:rsidRPr="00EE0BAF" w:rsidRDefault="009D525D" w:rsidP="009D525D">
      <w:pPr>
        <w:pStyle w:val="ListParagraph"/>
        <w:numPr>
          <w:ilvl w:val="0"/>
          <w:numId w:val="11"/>
        </w:numPr>
        <w:rPr>
          <w:b/>
        </w:rPr>
      </w:pPr>
      <w:r w:rsidRPr="00EE0BAF">
        <w:rPr>
          <w:b/>
        </w:rPr>
        <w:t>More than 1 logical node in the deployment</w:t>
      </w:r>
    </w:p>
    <w:p w14:paraId="33056E1A" w14:textId="255F38B7" w:rsidR="009D525D" w:rsidRPr="00EE0BAF" w:rsidRDefault="009D525D" w:rsidP="009D525D">
      <w:pPr>
        <w:pStyle w:val="ListParagraph"/>
        <w:numPr>
          <w:ilvl w:val="1"/>
          <w:numId w:val="11"/>
        </w:numPr>
        <w:rPr>
          <w:b/>
        </w:rPr>
      </w:pPr>
      <w:r w:rsidRPr="00EE0BAF">
        <w:rPr>
          <w:b/>
        </w:rPr>
        <w:t xml:space="preserve">Change the definition of logical interface </w:t>
      </w:r>
    </w:p>
    <w:p w14:paraId="510F83A5" w14:textId="40FFCE5A" w:rsidR="009D525D" w:rsidRDefault="009D525D" w:rsidP="009D525D">
      <w:pPr>
        <w:ind w:left="1080"/>
      </w:pPr>
      <w:r>
        <w:t>Make stage 2 changes (like in the referenced 38.420 section) to allow for a single logical interface to be between multiple logical nodes on each side.</w:t>
      </w:r>
      <w:r w:rsidR="00270227">
        <w:t xml:space="preserve"> The cascading effects of changes like this are unknown.</w:t>
      </w:r>
    </w:p>
    <w:p w14:paraId="62F0B184" w14:textId="6E01710B" w:rsidR="009D525D" w:rsidRPr="00EE0BAF" w:rsidRDefault="009D525D" w:rsidP="009D525D">
      <w:pPr>
        <w:pStyle w:val="ListParagraph"/>
        <w:numPr>
          <w:ilvl w:val="1"/>
          <w:numId w:val="11"/>
        </w:numPr>
        <w:rPr>
          <w:b/>
        </w:rPr>
      </w:pPr>
      <w:r w:rsidRPr="00EE0BAF">
        <w:rPr>
          <w:b/>
        </w:rPr>
        <w:t>Common transport</w:t>
      </w:r>
    </w:p>
    <w:p w14:paraId="485A9587" w14:textId="1A0DBF1F" w:rsidR="009D525D" w:rsidRDefault="009D525D" w:rsidP="009D525D">
      <w:pPr>
        <w:ind w:left="1080"/>
      </w:pPr>
      <w:r>
        <w:t xml:space="preserve">Have multiple Xn instances share the same transport, </w:t>
      </w:r>
      <w:r w:rsidR="0037239F">
        <w:t>which</w:t>
      </w:r>
      <w:r>
        <w:t xml:space="preserve"> can look like a single Xn interface. </w:t>
      </w:r>
    </w:p>
    <w:p w14:paraId="2DB75884" w14:textId="6AB540B4" w:rsidR="009D525D" w:rsidRDefault="00F54D14" w:rsidP="00F54D14">
      <w:pPr>
        <w:pStyle w:val="Heading2"/>
        <w:numPr>
          <w:ilvl w:val="0"/>
          <w:numId w:val="10"/>
        </w:numPr>
      </w:pPr>
      <w:r>
        <w:lastRenderedPageBreak/>
        <w:t>Other issues</w:t>
      </w:r>
    </w:p>
    <w:p w14:paraId="46801DCC" w14:textId="5A45FA28" w:rsidR="00F54D14" w:rsidRPr="00F54D14" w:rsidRDefault="00F54D14" w:rsidP="00F54D14">
      <w:r>
        <w:t>Please note that while the above discussion doesn’t completely map to the issues of a common F1 interface a good part of the discussion is relevant. Additionally</w:t>
      </w:r>
      <w:r w:rsidR="00EE0BAF">
        <w:t>,</w:t>
      </w:r>
      <w:r>
        <w:t xml:space="preserve"> for the work item </w:t>
      </w:r>
      <w:r w:rsidRPr="00F54D14">
        <w:t>eNB(s) Architecture Evolution for E-UTRAN and NG-RAN</w:t>
      </w:r>
      <w:r>
        <w:t xml:space="preserve"> the issue above are equally relevant for the W1 interface.</w:t>
      </w:r>
    </w:p>
    <w:p w14:paraId="70149BE6" w14:textId="41EB3765" w:rsidR="002A625D" w:rsidRDefault="00416B4A" w:rsidP="00416B4A">
      <w:pPr>
        <w:pStyle w:val="Heading1"/>
      </w:pPr>
      <w:r>
        <w:t>Proposal</w:t>
      </w:r>
    </w:p>
    <w:p w14:paraId="1E32EAF4" w14:textId="77777777" w:rsidR="00EA7743" w:rsidRDefault="00416B4A" w:rsidP="00416B4A">
      <w:r w:rsidRPr="00416B4A">
        <w:rPr>
          <w:b/>
        </w:rPr>
        <w:t>Proposal:</w:t>
      </w:r>
      <w:r>
        <w:rPr>
          <w:b/>
        </w:rPr>
        <w:t xml:space="preserve"> </w:t>
      </w:r>
      <w:r w:rsidR="00EA7743">
        <w:t>RAN3 should:</w:t>
      </w:r>
    </w:p>
    <w:p w14:paraId="023E85D2" w14:textId="23F332BB" w:rsidR="00EA7743" w:rsidRDefault="00EA7743" w:rsidP="00F54D14">
      <w:r>
        <w:t xml:space="preserve">Agree on the </w:t>
      </w:r>
      <w:r w:rsidR="00F54D14">
        <w:t>basic way to address multiple cell ids (multiple gNB ids) and the common interface, the options are:</w:t>
      </w:r>
      <w:bookmarkStart w:id="3" w:name="_GoBack"/>
    </w:p>
    <w:p w14:paraId="62BC2BCE" w14:textId="77777777" w:rsidR="00F54D14" w:rsidRDefault="00F54D14" w:rsidP="00F54D14">
      <w:pPr>
        <w:pStyle w:val="ListParagraph"/>
        <w:numPr>
          <w:ilvl w:val="0"/>
          <w:numId w:val="12"/>
        </w:numPr>
      </w:pPr>
      <w:r>
        <w:t>Have only 1 logical node in the deployment</w:t>
      </w:r>
    </w:p>
    <w:p w14:paraId="67E96B61" w14:textId="77777777" w:rsidR="00F54D14" w:rsidRDefault="00F54D14" w:rsidP="00F54D14">
      <w:pPr>
        <w:pStyle w:val="ListParagraph"/>
        <w:numPr>
          <w:ilvl w:val="1"/>
          <w:numId w:val="12"/>
        </w:numPr>
      </w:pPr>
      <w:r>
        <w:t xml:space="preserve">Single gNB id broadcast </w:t>
      </w:r>
    </w:p>
    <w:p w14:paraId="472EE5F3" w14:textId="77777777" w:rsidR="00F54D14" w:rsidRDefault="00F54D14" w:rsidP="00F54D14">
      <w:pPr>
        <w:pStyle w:val="ListParagraph"/>
        <w:numPr>
          <w:ilvl w:val="1"/>
          <w:numId w:val="12"/>
        </w:numPr>
      </w:pPr>
      <w:r>
        <w:t>Mapping of the 2</w:t>
      </w:r>
      <w:r w:rsidRPr="00915A50">
        <w:rPr>
          <w:vertAlign w:val="superscript"/>
        </w:rPr>
        <w:t>nd</w:t>
      </w:r>
      <w:r>
        <w:t xml:space="preserve"> and beyond cell ids back to a primary</w:t>
      </w:r>
    </w:p>
    <w:p w14:paraId="2B78CB73" w14:textId="77777777" w:rsidR="00F54D14" w:rsidRDefault="00F54D14" w:rsidP="00F54D14">
      <w:pPr>
        <w:pStyle w:val="ListParagraph"/>
        <w:numPr>
          <w:ilvl w:val="0"/>
          <w:numId w:val="12"/>
        </w:numPr>
      </w:pPr>
      <w:r>
        <w:t>More than 1 logical node in the deployment</w:t>
      </w:r>
    </w:p>
    <w:p w14:paraId="5421B4D9" w14:textId="77777777" w:rsidR="00F54D14" w:rsidRDefault="00F54D14" w:rsidP="00F54D14">
      <w:pPr>
        <w:pStyle w:val="ListParagraph"/>
        <w:numPr>
          <w:ilvl w:val="1"/>
          <w:numId w:val="12"/>
        </w:numPr>
      </w:pPr>
      <w:r>
        <w:t xml:space="preserve">Change the definition of logical interface </w:t>
      </w:r>
    </w:p>
    <w:p w14:paraId="719FC149" w14:textId="0DE097E6" w:rsidR="00F54D14" w:rsidRDefault="00F54D14" w:rsidP="00F54D14">
      <w:pPr>
        <w:pStyle w:val="ListParagraph"/>
        <w:numPr>
          <w:ilvl w:val="1"/>
          <w:numId w:val="12"/>
        </w:numPr>
      </w:pPr>
      <w:r>
        <w:t>Common transport</w:t>
      </w:r>
    </w:p>
    <w:p w14:paraId="7C2FFE89" w14:textId="7A5986FA" w:rsidR="00EE0BAF" w:rsidRDefault="00EE0BAF" w:rsidP="00EE0BAF">
      <w:r>
        <w:t xml:space="preserve">While we should have a discussion on whether either 1a or 1b is feasible, </w:t>
      </w:r>
      <w:proofErr w:type="gramStart"/>
      <w:r>
        <w:t>it is clear that if</w:t>
      </w:r>
      <w:proofErr w:type="gramEnd"/>
      <w:r>
        <w:t xml:space="preserve"> we must choose from 2a or 2b, InterDigital strongly supports option 2b. </w:t>
      </w:r>
    </w:p>
    <w:p w14:paraId="4DD9FDAC" w14:textId="6F6018F6" w:rsidR="00EA7743" w:rsidRDefault="00F54D14" w:rsidP="00F54D14">
      <w:pPr>
        <w:pStyle w:val="Heading1"/>
      </w:pPr>
      <w:r>
        <w:t xml:space="preserve">References </w:t>
      </w:r>
    </w:p>
    <w:p w14:paraId="7CA150AD" w14:textId="3FF501D3" w:rsidR="00B90B24" w:rsidRDefault="00B90B24" w:rsidP="00B90B24">
      <w:r>
        <w:t>[</w:t>
      </w:r>
      <w:r w:rsidR="00F54D14">
        <w:t>1</w:t>
      </w:r>
      <w:r>
        <w:t xml:space="preserve">] </w:t>
      </w:r>
      <w:r>
        <w:tab/>
        <w:t>RP-190730</w:t>
      </w:r>
      <w:r w:rsidR="00270227">
        <w:t xml:space="preserve"> </w:t>
      </w:r>
      <w:r>
        <w:t xml:space="preserve">LS on NG-RAN Network Sharing completion (to: RAN3; cc: -; </w:t>
      </w:r>
      <w:proofErr w:type="spellStart"/>
      <w:proofErr w:type="gramStart"/>
      <w:r>
        <w:t>contact:Huawei</w:t>
      </w:r>
      <w:proofErr w:type="spellEnd"/>
      <w:proofErr w:type="gramEnd"/>
      <w:r>
        <w:t>)</w:t>
      </w:r>
    </w:p>
    <w:p w14:paraId="4FD2EED0" w14:textId="2F8CBAAD" w:rsidR="00B90B24" w:rsidRDefault="00B90B24" w:rsidP="00B90B24">
      <w:r w:rsidRPr="00B90B24">
        <w:t>[</w:t>
      </w:r>
      <w:r>
        <w:t>2</w:t>
      </w:r>
      <w:r w:rsidRPr="00B90B24">
        <w:t>]</w:t>
      </w:r>
      <w:r w:rsidRPr="00B90B24">
        <w:tab/>
        <w:t>3GPP TS 38.413: "NG-RAN; NG Application Protocol (NGAP) ".</w:t>
      </w:r>
    </w:p>
    <w:p w14:paraId="54AA7BA5" w14:textId="0019C208" w:rsidR="00F54D14" w:rsidRDefault="00B90B24" w:rsidP="00B90B24">
      <w:r w:rsidRPr="00B90B24">
        <w:t>[3]</w:t>
      </w:r>
      <w:r w:rsidRPr="00B90B24">
        <w:tab/>
        <w:t>R3-190163</w:t>
      </w:r>
      <w:r w:rsidR="00EE0BAF">
        <w:t xml:space="preserve"> </w:t>
      </w:r>
      <w:r w:rsidRPr="00B90B24">
        <w:t>Equivalent Cell solution for NG-RAN sharing.</w:t>
      </w:r>
      <w:r w:rsidR="00EE0BAF">
        <w:t xml:space="preserve"> </w:t>
      </w:r>
      <w:r w:rsidRPr="00B90B24">
        <w:t xml:space="preserve">InterDigital </w:t>
      </w:r>
    </w:p>
    <w:p w14:paraId="58683508" w14:textId="3746A13C" w:rsidR="00B90B24" w:rsidRPr="00F54D14" w:rsidRDefault="00B90B24" w:rsidP="00B90B24">
      <w:r w:rsidRPr="00B90B24">
        <w:t>[</w:t>
      </w:r>
      <w:r>
        <w:t>4</w:t>
      </w:r>
      <w:r w:rsidRPr="00B90B24">
        <w:t>]</w:t>
      </w:r>
      <w:r w:rsidRPr="00B90B24">
        <w:tab/>
        <w:t>3GPP TS 38.420: "NG-RAN; Xn General Aspects and Principles".</w:t>
      </w:r>
      <w:bookmarkEnd w:id="3"/>
    </w:p>
    <w:sectPr w:rsidR="00B90B24" w:rsidRPr="00F54D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984802"/>
    <w:multiLevelType w:val="hybridMultilevel"/>
    <w:tmpl w:val="9A36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96D33"/>
    <w:multiLevelType w:val="hybridMultilevel"/>
    <w:tmpl w:val="AA5A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56181"/>
    <w:multiLevelType w:val="hybridMultilevel"/>
    <w:tmpl w:val="5F281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C70F1"/>
    <w:multiLevelType w:val="hybridMultilevel"/>
    <w:tmpl w:val="D1A8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D61EE"/>
    <w:multiLevelType w:val="hybridMultilevel"/>
    <w:tmpl w:val="BC50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C5C"/>
    <w:multiLevelType w:val="hybridMultilevel"/>
    <w:tmpl w:val="AA5A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num>
  <w:num w:numId="6">
    <w:abstractNumId w:val="4"/>
  </w:num>
  <w:num w:numId="7">
    <w:abstractNumId w:val="9"/>
  </w:num>
  <w:num w:numId="8">
    <w:abstractNumId w:val="2"/>
  </w:num>
  <w:num w:numId="9">
    <w:abstractNumId w:val="5"/>
  </w:num>
  <w:num w:numId="10">
    <w:abstractNumId w:val="1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50"/>
    <w:rsid w:val="000232D6"/>
    <w:rsid w:val="00031426"/>
    <w:rsid w:val="0003330C"/>
    <w:rsid w:val="00033CCF"/>
    <w:rsid w:val="00062B2C"/>
    <w:rsid w:val="0008623F"/>
    <w:rsid w:val="00092D89"/>
    <w:rsid w:val="0009660C"/>
    <w:rsid w:val="000A770D"/>
    <w:rsid w:val="000B4931"/>
    <w:rsid w:val="000C0731"/>
    <w:rsid w:val="000C72B7"/>
    <w:rsid w:val="000E767A"/>
    <w:rsid w:val="000F31BF"/>
    <w:rsid w:val="000F5A07"/>
    <w:rsid w:val="00113CDD"/>
    <w:rsid w:val="00123716"/>
    <w:rsid w:val="00127ED7"/>
    <w:rsid w:val="0013053E"/>
    <w:rsid w:val="001325A4"/>
    <w:rsid w:val="001472DF"/>
    <w:rsid w:val="0016131E"/>
    <w:rsid w:val="001A520A"/>
    <w:rsid w:val="001A6E93"/>
    <w:rsid w:val="001B4631"/>
    <w:rsid w:val="001B603C"/>
    <w:rsid w:val="001C3410"/>
    <w:rsid w:val="00201856"/>
    <w:rsid w:val="00211A10"/>
    <w:rsid w:val="00212413"/>
    <w:rsid w:val="0022104F"/>
    <w:rsid w:val="002229C1"/>
    <w:rsid w:val="00247ADF"/>
    <w:rsid w:val="0025301B"/>
    <w:rsid w:val="0026584E"/>
    <w:rsid w:val="00266BF0"/>
    <w:rsid w:val="00270227"/>
    <w:rsid w:val="002847FF"/>
    <w:rsid w:val="002860A0"/>
    <w:rsid w:val="002A625D"/>
    <w:rsid w:val="002B0179"/>
    <w:rsid w:val="002B0C58"/>
    <w:rsid w:val="002E08F0"/>
    <w:rsid w:val="0030296D"/>
    <w:rsid w:val="00304197"/>
    <w:rsid w:val="00320ED1"/>
    <w:rsid w:val="0032516E"/>
    <w:rsid w:val="00330150"/>
    <w:rsid w:val="00332767"/>
    <w:rsid w:val="00332B58"/>
    <w:rsid w:val="003442A0"/>
    <w:rsid w:val="0034769F"/>
    <w:rsid w:val="00347738"/>
    <w:rsid w:val="0035050E"/>
    <w:rsid w:val="0037157D"/>
    <w:rsid w:val="0037239F"/>
    <w:rsid w:val="003806EB"/>
    <w:rsid w:val="0038584D"/>
    <w:rsid w:val="00386729"/>
    <w:rsid w:val="003A44A7"/>
    <w:rsid w:val="003B0307"/>
    <w:rsid w:val="003B0994"/>
    <w:rsid w:val="003B58B1"/>
    <w:rsid w:val="003C7C65"/>
    <w:rsid w:val="003E5D93"/>
    <w:rsid w:val="00402B42"/>
    <w:rsid w:val="00404AAB"/>
    <w:rsid w:val="00407A96"/>
    <w:rsid w:val="00410082"/>
    <w:rsid w:val="00415A35"/>
    <w:rsid w:val="00416AA7"/>
    <w:rsid w:val="00416B4A"/>
    <w:rsid w:val="00426020"/>
    <w:rsid w:val="0043474D"/>
    <w:rsid w:val="00436EEA"/>
    <w:rsid w:val="00452D41"/>
    <w:rsid w:val="00472909"/>
    <w:rsid w:val="004752CA"/>
    <w:rsid w:val="00482206"/>
    <w:rsid w:val="004B0BF6"/>
    <w:rsid w:val="004C5642"/>
    <w:rsid w:val="004D2A57"/>
    <w:rsid w:val="004E7B2A"/>
    <w:rsid w:val="005109C6"/>
    <w:rsid w:val="00530662"/>
    <w:rsid w:val="0053141F"/>
    <w:rsid w:val="0054273C"/>
    <w:rsid w:val="005542BE"/>
    <w:rsid w:val="00561286"/>
    <w:rsid w:val="00566AA6"/>
    <w:rsid w:val="00583598"/>
    <w:rsid w:val="00583BD3"/>
    <w:rsid w:val="005929E1"/>
    <w:rsid w:val="005A66A5"/>
    <w:rsid w:val="005C5849"/>
    <w:rsid w:val="005D4DDE"/>
    <w:rsid w:val="005E6D81"/>
    <w:rsid w:val="006025A3"/>
    <w:rsid w:val="00604A91"/>
    <w:rsid w:val="006223BA"/>
    <w:rsid w:val="00693781"/>
    <w:rsid w:val="0069716F"/>
    <w:rsid w:val="006A3845"/>
    <w:rsid w:val="006A7DF1"/>
    <w:rsid w:val="006C1EE4"/>
    <w:rsid w:val="006D6800"/>
    <w:rsid w:val="0070127A"/>
    <w:rsid w:val="00706427"/>
    <w:rsid w:val="00712174"/>
    <w:rsid w:val="0077077F"/>
    <w:rsid w:val="0077229D"/>
    <w:rsid w:val="007736F7"/>
    <w:rsid w:val="00775BB2"/>
    <w:rsid w:val="00776D1D"/>
    <w:rsid w:val="00783A5F"/>
    <w:rsid w:val="00795C42"/>
    <w:rsid w:val="007C3987"/>
    <w:rsid w:val="007C3CBC"/>
    <w:rsid w:val="007E5328"/>
    <w:rsid w:val="007F2380"/>
    <w:rsid w:val="007F5195"/>
    <w:rsid w:val="007F6775"/>
    <w:rsid w:val="00803CB1"/>
    <w:rsid w:val="008140F2"/>
    <w:rsid w:val="00825712"/>
    <w:rsid w:val="00840EAC"/>
    <w:rsid w:val="00843754"/>
    <w:rsid w:val="00861947"/>
    <w:rsid w:val="00863657"/>
    <w:rsid w:val="00891465"/>
    <w:rsid w:val="0089292F"/>
    <w:rsid w:val="00893CC7"/>
    <w:rsid w:val="008B0C8E"/>
    <w:rsid w:val="008B16EA"/>
    <w:rsid w:val="008C44C4"/>
    <w:rsid w:val="008C54F7"/>
    <w:rsid w:val="008E6F3D"/>
    <w:rsid w:val="00904B1C"/>
    <w:rsid w:val="00912FA9"/>
    <w:rsid w:val="00915A50"/>
    <w:rsid w:val="00915CC8"/>
    <w:rsid w:val="00927855"/>
    <w:rsid w:val="00960EFC"/>
    <w:rsid w:val="0097555C"/>
    <w:rsid w:val="0098139B"/>
    <w:rsid w:val="009853C4"/>
    <w:rsid w:val="009A524B"/>
    <w:rsid w:val="009A621B"/>
    <w:rsid w:val="009A7FE0"/>
    <w:rsid w:val="009B02DC"/>
    <w:rsid w:val="009C46BD"/>
    <w:rsid w:val="009C7095"/>
    <w:rsid w:val="009D525D"/>
    <w:rsid w:val="009E01D5"/>
    <w:rsid w:val="009F0E98"/>
    <w:rsid w:val="009F5423"/>
    <w:rsid w:val="00A05EC5"/>
    <w:rsid w:val="00A33A9C"/>
    <w:rsid w:val="00A35CD9"/>
    <w:rsid w:val="00A50AD6"/>
    <w:rsid w:val="00A62002"/>
    <w:rsid w:val="00A75F1A"/>
    <w:rsid w:val="00A95E8D"/>
    <w:rsid w:val="00AA3E4D"/>
    <w:rsid w:val="00AA4083"/>
    <w:rsid w:val="00AA4369"/>
    <w:rsid w:val="00AB41DF"/>
    <w:rsid w:val="00AD4E4E"/>
    <w:rsid w:val="00AE4ABF"/>
    <w:rsid w:val="00AF3D0C"/>
    <w:rsid w:val="00B1397A"/>
    <w:rsid w:val="00B172EB"/>
    <w:rsid w:val="00B17460"/>
    <w:rsid w:val="00B21581"/>
    <w:rsid w:val="00B22878"/>
    <w:rsid w:val="00B26225"/>
    <w:rsid w:val="00B345E8"/>
    <w:rsid w:val="00B73F75"/>
    <w:rsid w:val="00B86FBA"/>
    <w:rsid w:val="00B90B24"/>
    <w:rsid w:val="00B91C0E"/>
    <w:rsid w:val="00B92393"/>
    <w:rsid w:val="00BA5B20"/>
    <w:rsid w:val="00BB0ACC"/>
    <w:rsid w:val="00BC3D1D"/>
    <w:rsid w:val="00BD4349"/>
    <w:rsid w:val="00BD4741"/>
    <w:rsid w:val="00BE119C"/>
    <w:rsid w:val="00BE37F1"/>
    <w:rsid w:val="00BE65F4"/>
    <w:rsid w:val="00BF007B"/>
    <w:rsid w:val="00C27064"/>
    <w:rsid w:val="00C370C2"/>
    <w:rsid w:val="00C612C3"/>
    <w:rsid w:val="00C61DEC"/>
    <w:rsid w:val="00CA2F75"/>
    <w:rsid w:val="00CB5003"/>
    <w:rsid w:val="00CB590C"/>
    <w:rsid w:val="00CB711E"/>
    <w:rsid w:val="00CB72BD"/>
    <w:rsid w:val="00CD04E4"/>
    <w:rsid w:val="00CE413D"/>
    <w:rsid w:val="00CE6017"/>
    <w:rsid w:val="00CF2D28"/>
    <w:rsid w:val="00D11787"/>
    <w:rsid w:val="00D1518A"/>
    <w:rsid w:val="00D24E20"/>
    <w:rsid w:val="00D32EB9"/>
    <w:rsid w:val="00D619C5"/>
    <w:rsid w:val="00D6695E"/>
    <w:rsid w:val="00DA07FD"/>
    <w:rsid w:val="00DA09D1"/>
    <w:rsid w:val="00DC1F63"/>
    <w:rsid w:val="00DC4AF9"/>
    <w:rsid w:val="00DD09DA"/>
    <w:rsid w:val="00DE1A86"/>
    <w:rsid w:val="00DE31AE"/>
    <w:rsid w:val="00DF4FB5"/>
    <w:rsid w:val="00E03F83"/>
    <w:rsid w:val="00E0402F"/>
    <w:rsid w:val="00E10B96"/>
    <w:rsid w:val="00E21096"/>
    <w:rsid w:val="00E32DBD"/>
    <w:rsid w:val="00E41EE7"/>
    <w:rsid w:val="00E438CE"/>
    <w:rsid w:val="00E46AD2"/>
    <w:rsid w:val="00E720AB"/>
    <w:rsid w:val="00E85301"/>
    <w:rsid w:val="00E909E1"/>
    <w:rsid w:val="00E914AD"/>
    <w:rsid w:val="00EA7743"/>
    <w:rsid w:val="00EB1E3E"/>
    <w:rsid w:val="00EB2C3C"/>
    <w:rsid w:val="00EB2D8C"/>
    <w:rsid w:val="00EC14D2"/>
    <w:rsid w:val="00EE0BAF"/>
    <w:rsid w:val="00EE472E"/>
    <w:rsid w:val="00F03664"/>
    <w:rsid w:val="00F24588"/>
    <w:rsid w:val="00F30EC3"/>
    <w:rsid w:val="00F32BB6"/>
    <w:rsid w:val="00F47950"/>
    <w:rsid w:val="00F54D14"/>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1B9C24"/>
  <w15:docId w15:val="{A7877711-8ECD-4F60-A5C5-03C140B4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 w:type="paragraph" w:customStyle="1" w:styleId="NO">
    <w:name w:val="NO"/>
    <w:basedOn w:val="Normal"/>
    <w:link w:val="NOZchn"/>
    <w:qFormat/>
    <w:rsid w:val="002A625D"/>
    <w:pPr>
      <w:keepLines/>
      <w:overflowPunct/>
      <w:autoSpaceDE/>
      <w:autoSpaceDN/>
      <w:adjustRightInd/>
      <w:spacing w:after="180"/>
      <w:ind w:left="1135" w:hanging="851"/>
      <w:jc w:val="left"/>
      <w:textAlignment w:val="auto"/>
    </w:pPr>
    <w:rPr>
      <w:rFonts w:eastAsia="Times New Roman"/>
      <w:sz w:val="20"/>
      <w:lang w:eastAsia="x-none"/>
    </w:rPr>
  </w:style>
  <w:style w:type="character" w:customStyle="1" w:styleId="NOZchn">
    <w:name w:val="NO Zchn"/>
    <w:link w:val="NO"/>
    <w:rsid w:val="002A625D"/>
    <w:rPr>
      <w:lang w:val="en-GB" w:eastAsia="x-none"/>
    </w:rPr>
  </w:style>
  <w:style w:type="character" w:customStyle="1" w:styleId="TFChar">
    <w:name w:val="TF Char"/>
    <w:rsid w:val="002A625D"/>
    <w:rPr>
      <w:rFonts w:ascii="Arial" w:eastAsia="Times New Roman"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6267">
      <w:bodyDiv w:val="1"/>
      <w:marLeft w:val="0"/>
      <w:marRight w:val="0"/>
      <w:marTop w:val="0"/>
      <w:marBottom w:val="0"/>
      <w:divBdr>
        <w:top w:val="none" w:sz="0" w:space="0" w:color="auto"/>
        <w:left w:val="none" w:sz="0" w:space="0" w:color="auto"/>
        <w:bottom w:val="none" w:sz="0" w:space="0" w:color="auto"/>
        <w:right w:val="none" w:sz="0" w:space="0" w:color="auto"/>
      </w:divBdr>
    </w:div>
    <w:div w:id="1592856560">
      <w:bodyDiv w:val="1"/>
      <w:marLeft w:val="0"/>
      <w:marRight w:val="0"/>
      <w:marTop w:val="0"/>
      <w:marBottom w:val="0"/>
      <w:divBdr>
        <w:top w:val="none" w:sz="0" w:space="0" w:color="auto"/>
        <w:left w:val="none" w:sz="0" w:space="0" w:color="auto"/>
        <w:bottom w:val="none" w:sz="0" w:space="0" w:color="auto"/>
        <w:right w:val="none" w:sz="0" w:space="0" w:color="auto"/>
      </w:divBdr>
    </w:div>
    <w:div w:id="160394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1C848-F518-441D-BB83-D837A017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Jim Miller</cp:lastModifiedBy>
  <cp:revision>5</cp:revision>
  <cp:lastPrinted>2018-01-10T15:05:00Z</cp:lastPrinted>
  <dcterms:created xsi:type="dcterms:W3CDTF">2019-03-27T18:00:00Z</dcterms:created>
  <dcterms:modified xsi:type="dcterms:W3CDTF">2019-03-28T18:49:00Z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